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F8" w:rsidRDefault="00FD69F6" w:rsidP="00C001F8">
      <w:pPr>
        <w:pStyle w:val="Heading1"/>
      </w:pPr>
      <w:r>
        <w:t>Educational Developer</w:t>
      </w:r>
      <w:r w:rsidR="009B5F8E">
        <w:t>/Learning Consultant</w:t>
      </w:r>
      <w:r w:rsidR="00C001F8">
        <w:t xml:space="preserve"> Portfolio Rubric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1887"/>
      </w:tblGrid>
      <w:tr w:rsidR="00C001F8" w:rsidTr="00A6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D9E2F3" w:themeFill="accent5" w:themeFillTint="33"/>
          </w:tcPr>
          <w:p w:rsidR="00C001F8" w:rsidRPr="00B0425C" w:rsidRDefault="00C001F8" w:rsidP="00A64C6F">
            <w:pPr>
              <w:tabs>
                <w:tab w:val="left" w:pos="1500"/>
              </w:tabs>
              <w:rPr>
                <w:rFonts w:asciiTheme="minorHAnsi" w:hAnsiTheme="minorHAnsi"/>
                <w:sz w:val="24"/>
                <w:szCs w:val="24"/>
              </w:rPr>
            </w:pPr>
            <w:r w:rsidRPr="00B0425C">
              <w:rPr>
                <w:rFonts w:asciiTheme="minorHAnsi" w:hAnsiTheme="minorHAnsi"/>
                <w:sz w:val="24"/>
                <w:szCs w:val="24"/>
              </w:rPr>
              <w:t>Criteria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001F8" w:rsidRPr="00B0425C" w:rsidRDefault="00C001F8" w:rsidP="00A64C6F">
            <w:pPr>
              <w:tabs>
                <w:tab w:val="left" w:pos="1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sz w:val="20"/>
                <w:szCs w:val="20"/>
              </w:rPr>
              <w:t>Rating *</w:t>
            </w:r>
          </w:p>
        </w:tc>
        <w:tc>
          <w:tcPr>
            <w:tcW w:w="1887" w:type="dxa"/>
            <w:shd w:val="clear" w:color="auto" w:fill="D9E2F3" w:themeFill="accent5" w:themeFillTint="33"/>
          </w:tcPr>
          <w:p w:rsidR="00C001F8" w:rsidRPr="00B0425C" w:rsidRDefault="00C001F8" w:rsidP="00A64C6F">
            <w:pPr>
              <w:tabs>
                <w:tab w:val="left" w:pos="1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B0425C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A.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Educational Development Philosophy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Clearly summarizes core beliefs related to educational development and key claims about practice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Core beliefs are grounded in scholarship and personal experience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Briefly illustrates beliefs with examples of educational development strategies and approaches to demonstrate alignment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Provides examples of strategies used to evaluate educational development practices and effectiveness, including impact and influence on educational practice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Demonstrates a commitment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to continuous improvement and 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>summarizes future goals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, professional learning plans and development in practices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Provides a framework for the presentation and organization of the portfolio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B.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Quality and Alignment of Evidence</w:t>
            </w:r>
          </w:p>
          <w:p w:rsidR="00C001F8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Evidence of specific educational development practices and approaches is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consistent with the Centre for Innovation and Excellence in Learning priorities, directions as well as institutional initiatives 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Evidence is p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>resented from multiple perspectives (e.g., self, instructors, peers, program participants, scholarship) and data sources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Sources of evidence are appropriate given the context of one’s roles, responsibilities, and experiences as well as the purpose of the portfolio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Evidence presented clearly aligns with the claims made in the educational development philosophy statement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 xml:space="preserve"> Strong alignment is presented across multiple sources of data as it relates to the claims made in one’s philosophy (i.e., triangulati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on of data is evident</w:t>
            </w:r>
            <w:r w:rsidRPr="00F735B4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>C. Competencies of an Educational Developer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Provide evidence of traits, skills/knowledge/attributes and applications of learning appropriate to the level of educational developer the position is aligned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Evidence will demonstrate understanding and outline plans for further development (examples are listed in last column in document on competencies)</w:t>
            </w:r>
          </w:p>
          <w:p w:rsidR="00C001F8" w:rsidRDefault="00C001F8" w:rsidP="00A64C6F">
            <w:pPr>
              <w:tabs>
                <w:tab w:val="left" w:pos="1500"/>
              </w:tabs>
              <w:rPr>
                <w:rFonts w:asciiTheme="minorHAnsi" w:hAnsiTheme="minorHAnsi"/>
                <w:i/>
                <w:color w:val="C45911" w:themeColor="accent2" w:themeShade="BF"/>
              </w:rPr>
            </w:pP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D.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Scholarship</w:t>
            </w: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 and Scholarly Literature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Links to scholarly literature are provided throughout the portfolio to ground key claims and approaches to practice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Citations are included and sourced in a bibliography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Contributions to the scholarship of educational development and/or teaching and learning are included</w:t>
            </w:r>
          </w:p>
          <w:p w:rsidR="00C001F8" w:rsidRPr="00F735B4" w:rsidRDefault="00C001F8" w:rsidP="00A64C6F">
            <w:pPr>
              <w:tabs>
                <w:tab w:val="left" w:pos="150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D9E2F3" w:themeFill="accent5" w:themeFillTint="33"/>
          </w:tcPr>
          <w:p w:rsidR="00C001F8" w:rsidRPr="00760743" w:rsidRDefault="00C001F8" w:rsidP="00A64C6F">
            <w:pPr>
              <w:tabs>
                <w:tab w:val="left" w:pos="1500"/>
              </w:tabs>
              <w:rPr>
                <w:rFonts w:asciiTheme="minorHAnsi" w:hAnsiTheme="minorHAnsi"/>
                <w:sz w:val="24"/>
                <w:szCs w:val="24"/>
              </w:rPr>
            </w:pPr>
            <w:r w:rsidRPr="00760743">
              <w:rPr>
                <w:rFonts w:asciiTheme="minorHAnsi" w:hAnsiTheme="minorHAnsi"/>
                <w:sz w:val="24"/>
                <w:szCs w:val="24"/>
              </w:rPr>
              <w:lastRenderedPageBreak/>
              <w:t>Criteria</w:t>
            </w:r>
            <w:r w:rsidRPr="00760743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001F8" w:rsidRPr="00760743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0743">
              <w:rPr>
                <w:rFonts w:asciiTheme="minorHAnsi" w:hAnsiTheme="minorHAnsi"/>
                <w:b/>
                <w:sz w:val="20"/>
                <w:szCs w:val="20"/>
              </w:rPr>
              <w:t>Rating *</w:t>
            </w:r>
          </w:p>
        </w:tc>
        <w:tc>
          <w:tcPr>
            <w:tcW w:w="1887" w:type="dxa"/>
            <w:shd w:val="clear" w:color="auto" w:fill="D9E2F3" w:themeFill="accent5" w:themeFillTint="33"/>
          </w:tcPr>
          <w:p w:rsidR="00C001F8" w:rsidRPr="00760743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60743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E.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Critical Reflection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Critical reflection is integrated throughout the portfolio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Evaluates how evidence of educational development approaches relate to one’s core beliefs and philosophy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Includes 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>summaries related to the scope, impact and quality of educational development approaches to put evidence into context and highlight key learnings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Evaluates how educational development approaches have evolved over time based on personal contexts and experiences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Presents future implications related to one’s continued professional growth and development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F.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Personal Expression and Context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Author’s voice is evident, consistent and authentic throughout the portfolio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Narrative summaries are provided to provide personal context related to the evidence included in the portfolio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Philosophy, strategies, and evidence are grounded in one’s experience and personal context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1F8" w:rsidTr="00A64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C001F8" w:rsidRPr="00B0425C" w:rsidRDefault="00C001F8" w:rsidP="00A64C6F">
            <w:pPr>
              <w:tabs>
                <w:tab w:val="left" w:pos="1500"/>
              </w:tabs>
              <w:spacing w:after="120"/>
              <w:rPr>
                <w:rFonts w:asciiTheme="minorHAnsi" w:hAnsiTheme="minorHAnsi"/>
                <w:i/>
                <w:color w:val="C45911" w:themeColor="accent2" w:themeShade="BF"/>
              </w:rPr>
            </w:pPr>
            <w:r>
              <w:rPr>
                <w:rFonts w:asciiTheme="minorHAnsi" w:hAnsiTheme="minorHAnsi"/>
                <w:i/>
                <w:color w:val="C45911" w:themeColor="accent2" w:themeShade="BF"/>
              </w:rPr>
              <w:t xml:space="preserve">G. </w:t>
            </w:r>
            <w:r w:rsidRPr="00B0425C">
              <w:rPr>
                <w:rFonts w:asciiTheme="minorHAnsi" w:hAnsiTheme="minorHAnsi"/>
                <w:i/>
                <w:color w:val="C45911" w:themeColor="accent2" w:themeShade="BF"/>
              </w:rPr>
              <w:t>Design and Organization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Presented as a clear, succinct, and integrated document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Professionally presented in a way that is appropriate for the intended audience and purpose</w:t>
            </w:r>
          </w:p>
          <w:p w:rsidR="00C001F8" w:rsidRPr="000666EC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Logical and consistent structure is provided, including 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clear web menu</w:t>
            </w:r>
          </w:p>
          <w:p w:rsidR="00C001F8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Assembly and presentat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ion of portfolio demonstrates technology skills in digital use of tools and techniques</w:t>
            </w:r>
          </w:p>
          <w:p w:rsidR="00C001F8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 w:rsidRPr="000666E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All links work and navigation is easy given the structure of the whole portfolio</w:t>
            </w:r>
          </w:p>
          <w:p w:rsidR="00C001F8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425C">
              <w:rPr>
                <w:rFonts w:asciiTheme="minorHAnsi" w:hAnsiTheme="minorHAnsi"/>
                <w:b w:val="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All documents, pages, resources, links and materials are consistent and professionally presented conforming to Centre formatting guidelines and styles (e.g., header tags, language, link location, file names etc.)</w:t>
            </w:r>
          </w:p>
          <w:p w:rsidR="00C001F8" w:rsidRPr="00F735B4" w:rsidRDefault="00C001F8" w:rsidP="00A64C6F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7" w:type="dxa"/>
          </w:tcPr>
          <w:p w:rsidR="00C001F8" w:rsidRPr="00F735B4" w:rsidRDefault="00C001F8" w:rsidP="00A64C6F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001F8" w:rsidRPr="003C421E" w:rsidRDefault="00E61822" w:rsidP="00E61822">
      <w:pPr>
        <w:tabs>
          <w:tab w:val="left" w:pos="150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001F8" w:rsidRPr="003C421E">
        <w:rPr>
          <w:rFonts w:asciiTheme="minorHAnsi" w:hAnsiTheme="minorHAnsi"/>
          <w:b/>
        </w:rPr>
        <w:t>* Rating Scale</w:t>
      </w:r>
    </w:p>
    <w:p w:rsidR="00C001F8" w:rsidRDefault="00C001F8" w:rsidP="00C001F8">
      <w:pPr>
        <w:tabs>
          <w:tab w:val="left" w:pos="1500"/>
        </w:tabs>
        <w:spacing w:after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4/4+ = all components included, exceeds expectations, no revisions required, with significant depth and breadth</w:t>
      </w:r>
    </w:p>
    <w:p w:rsidR="00C001F8" w:rsidRPr="00F735B4" w:rsidRDefault="00C001F8" w:rsidP="00C001F8">
      <w:pPr>
        <w:tabs>
          <w:tab w:val="left" w:pos="1500"/>
        </w:tabs>
        <w:spacing w:after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3/3+ = almost all</w:t>
      </w:r>
      <w:r w:rsidRPr="00F735B4">
        <w:rPr>
          <w:rFonts w:asciiTheme="minorHAnsi" w:hAnsiTheme="minorHAnsi"/>
          <w:sz w:val="20"/>
          <w:szCs w:val="20"/>
        </w:rPr>
        <w:t xml:space="preserve"> components included, </w:t>
      </w:r>
      <w:r>
        <w:rPr>
          <w:rFonts w:asciiTheme="minorHAnsi" w:hAnsiTheme="minorHAnsi"/>
          <w:sz w:val="20"/>
          <w:szCs w:val="20"/>
        </w:rPr>
        <w:t>meets</w:t>
      </w:r>
      <w:r w:rsidRPr="00F735B4">
        <w:rPr>
          <w:rFonts w:asciiTheme="minorHAnsi" w:hAnsiTheme="minorHAnsi"/>
          <w:sz w:val="20"/>
          <w:szCs w:val="20"/>
        </w:rPr>
        <w:t xml:space="preserve"> expectations</w:t>
      </w:r>
      <w:r>
        <w:rPr>
          <w:rFonts w:asciiTheme="minorHAnsi" w:hAnsiTheme="minorHAnsi"/>
          <w:sz w:val="20"/>
          <w:szCs w:val="20"/>
        </w:rPr>
        <w:t>, no revisions required, with good depth and breadth</w:t>
      </w:r>
    </w:p>
    <w:p w:rsidR="00C001F8" w:rsidRPr="00F735B4" w:rsidRDefault="00C001F8" w:rsidP="00C001F8">
      <w:pPr>
        <w:tabs>
          <w:tab w:val="left" w:pos="1500"/>
        </w:tabs>
        <w:spacing w:after="60"/>
        <w:rPr>
          <w:rFonts w:asciiTheme="minorHAnsi" w:hAnsiTheme="minorHAnsi"/>
          <w:sz w:val="20"/>
          <w:szCs w:val="20"/>
        </w:rPr>
      </w:pPr>
      <w:r w:rsidRPr="00F735B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/2+ </w:t>
      </w:r>
      <w:r w:rsidRPr="00F735B4">
        <w:rPr>
          <w:rFonts w:asciiTheme="minorHAnsi" w:hAnsiTheme="minorHAnsi"/>
          <w:sz w:val="20"/>
          <w:szCs w:val="20"/>
        </w:rPr>
        <w:t>= most components included, some revisions required</w:t>
      </w:r>
      <w:r>
        <w:rPr>
          <w:rFonts w:asciiTheme="minorHAnsi" w:hAnsiTheme="minorHAnsi"/>
          <w:sz w:val="20"/>
          <w:szCs w:val="20"/>
        </w:rPr>
        <w:t>, more depth and/or breadth required</w:t>
      </w:r>
    </w:p>
    <w:p w:rsidR="00E61822" w:rsidRPr="00FD69F6" w:rsidRDefault="00C001F8" w:rsidP="00C001F8">
      <w:pPr>
        <w:tabs>
          <w:tab w:val="left" w:pos="1500"/>
        </w:tabs>
        <w:spacing w:after="0" w:line="240" w:lineRule="auto"/>
        <w:rPr>
          <w:rFonts w:asciiTheme="minorHAnsi" w:hAnsiTheme="minorHAnsi"/>
          <w:sz w:val="10"/>
          <w:szCs w:val="10"/>
        </w:rPr>
      </w:pPr>
      <w:r w:rsidRPr="00F735B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/1+</w:t>
      </w:r>
      <w:r w:rsidRPr="00F735B4">
        <w:rPr>
          <w:rFonts w:asciiTheme="minorHAnsi" w:hAnsiTheme="minorHAnsi"/>
          <w:sz w:val="20"/>
          <w:szCs w:val="20"/>
        </w:rPr>
        <w:t xml:space="preserve"> = many components missing, major revisions required</w:t>
      </w:r>
      <w:r>
        <w:rPr>
          <w:rFonts w:asciiTheme="minorHAnsi" w:hAnsiTheme="minorHAnsi"/>
          <w:sz w:val="20"/>
          <w:szCs w:val="20"/>
        </w:rPr>
        <w:t>, needs more work on depth and breadth</w:t>
      </w:r>
      <w:r w:rsidR="00E61822">
        <w:rPr>
          <w:rFonts w:asciiTheme="minorHAnsi" w:hAnsiTheme="minorHAnsi"/>
          <w:sz w:val="18"/>
          <w:szCs w:val="18"/>
        </w:rPr>
        <w:br/>
      </w:r>
    </w:p>
    <w:p w:rsidR="00CF704C" w:rsidRPr="00FD69F6" w:rsidRDefault="00FD69F6" w:rsidP="00C001F8">
      <w:pPr>
        <w:tabs>
          <w:tab w:val="left" w:pos="1500"/>
        </w:tabs>
        <w:spacing w:after="0" w:line="240" w:lineRule="auto"/>
        <w:rPr>
          <w:rFonts w:asciiTheme="minorHAnsi" w:hAnsiTheme="minorHAnsi"/>
          <w:sz w:val="16"/>
          <w:szCs w:val="16"/>
        </w:rPr>
      </w:pPr>
      <w:r w:rsidRPr="00FD69F6">
        <w:rPr>
          <w:rFonts w:eastAsiaTheme="majorEastAsia" w:cstheme="majorBidi"/>
          <w:b/>
          <w:noProof/>
          <w:color w:val="2E74B5" w:themeColor="accent1" w:themeShade="B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0D5C" wp14:editId="152D3514">
                <wp:simplePos x="0" y="0"/>
                <wp:positionH relativeFrom="margin">
                  <wp:posOffset>-142240</wp:posOffset>
                </wp:positionH>
                <wp:positionV relativeFrom="paragraph">
                  <wp:posOffset>418465</wp:posOffset>
                </wp:positionV>
                <wp:extent cx="6940550" cy="6032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FD69F6" w:rsidRPr="00C05C1E" w:rsidRDefault="00FD69F6" w:rsidP="00FD69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Attribution: </w:t>
                            </w:r>
                            <w:r>
                              <w:rPr>
                                <w:rStyle w:val="A2"/>
                                <w:sz w:val="16"/>
                                <w:szCs w:val="16"/>
                              </w:rPr>
                              <w:t>Small edits done to same rubric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 found in McDonald, J., Kenny, N., </w:t>
                            </w:r>
                            <w:proofErr w:type="spellStart"/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>Kustra</w:t>
                            </w:r>
                            <w:proofErr w:type="spellEnd"/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, E., Dawson, D., Iqbal, I., </w:t>
                            </w:r>
                            <w:proofErr w:type="spellStart"/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>Borin</w:t>
                            </w:r>
                            <w:proofErr w:type="spellEnd"/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 xml:space="preserve">, P., &amp; Chan, J. (2016). </w:t>
                            </w:r>
                            <w:r w:rsidRPr="00C05C1E">
                              <w:rPr>
                                <w:rStyle w:val="A2"/>
                                <w:i/>
                                <w:iCs/>
                                <w:sz w:val="16"/>
                                <w:szCs w:val="16"/>
                              </w:rPr>
                              <w:t>Educational Development Guide Series: No. 1. The Educational Developer’s Portfolio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t>. Ottawa, Canada: Educational Developers Caucus.</w:t>
                            </w:r>
                            <w:r w:rsidRPr="00C05C1E">
                              <w:rPr>
                                <w:rStyle w:val="A2"/>
                                <w:sz w:val="16"/>
                                <w:szCs w:val="16"/>
                              </w:rPr>
                              <w:br/>
                              <w:t xml:space="preserve">Educational Development Guide No. 1 by Educational Developers Caucus is licensed under a Creative Commons Attribution 4.0 International License. Available for free from </w:t>
                            </w:r>
                            <w:r w:rsidRPr="00C05C1E">
                              <w:rPr>
                                <w:rStyle w:val="A4"/>
                                <w:sz w:val="16"/>
                                <w:szCs w:val="16"/>
                              </w:rPr>
                              <w:t>http://www.stlhe.ca/constituencies/educational-developers-caucus/guides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0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2.95pt;width:546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" fillcolor="white [3201]" strokecolor="#d8d8d8 [2732]" strokeweight=".25pt">
                <v:stroke dashstyle="1 1"/>
                <v:textbox>
                  <w:txbxContent>
                    <w:p w:rsidR="00FD69F6" w:rsidRPr="00C05C1E" w:rsidRDefault="00FD69F6" w:rsidP="00FD69F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Attribution: </w:t>
                      </w:r>
                      <w:r>
                        <w:rPr>
                          <w:rStyle w:val="A2"/>
                          <w:sz w:val="16"/>
                          <w:szCs w:val="16"/>
                        </w:rPr>
                        <w:t>Small edits done to same rubric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 found in McDonald, J., Kenny, N., </w:t>
                      </w:r>
                      <w:proofErr w:type="spellStart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Kustra</w:t>
                      </w:r>
                      <w:proofErr w:type="spellEnd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, E., Dawson, D., Iqbal, I., </w:t>
                      </w:r>
                      <w:proofErr w:type="spellStart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Borin</w:t>
                      </w:r>
                      <w:proofErr w:type="spellEnd"/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 xml:space="preserve">, P., &amp; Chan, J. (2016). </w:t>
                      </w:r>
                      <w:r w:rsidRPr="00C05C1E">
                        <w:rPr>
                          <w:rStyle w:val="A2"/>
                          <w:i/>
                          <w:iCs/>
                          <w:sz w:val="16"/>
                          <w:szCs w:val="16"/>
                        </w:rPr>
                        <w:t>Educational Development Guide Series: No. 1. The Educational Developer’s Portfolio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t>. Ottawa, Canada: Educational Developers Caucus.</w:t>
                      </w:r>
                      <w:r w:rsidRPr="00C05C1E">
                        <w:rPr>
                          <w:rStyle w:val="A2"/>
                          <w:sz w:val="16"/>
                          <w:szCs w:val="16"/>
                        </w:rPr>
                        <w:br/>
                        <w:t xml:space="preserve">Educational Development Guide No. 1 by Educational Developers Caucus is licensed under a Creative Commons Attribution 4.0 International License. Available for free from </w:t>
                      </w:r>
                      <w:r w:rsidRPr="00C05C1E">
                        <w:rPr>
                          <w:rStyle w:val="A4"/>
                          <w:sz w:val="16"/>
                          <w:szCs w:val="16"/>
                        </w:rPr>
                        <w:t>http://www.stlhe.ca/constituencies/educational-developers-caucus/guides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1F8" w:rsidRPr="00FD69F6">
        <w:rPr>
          <w:rFonts w:asciiTheme="minorHAnsi" w:hAnsiTheme="minorHAnsi"/>
          <w:sz w:val="16"/>
          <w:szCs w:val="16"/>
        </w:rPr>
        <w:t xml:space="preserve">Note. This rubric builds upon elements of the structure and content presented in: </w:t>
      </w:r>
      <w:proofErr w:type="spellStart"/>
      <w:r w:rsidR="00C001F8" w:rsidRPr="00FD69F6">
        <w:rPr>
          <w:rFonts w:asciiTheme="minorHAnsi" w:hAnsiTheme="minorHAnsi"/>
          <w:sz w:val="16"/>
          <w:szCs w:val="16"/>
        </w:rPr>
        <w:t>Britnell</w:t>
      </w:r>
      <w:proofErr w:type="spellEnd"/>
      <w:r w:rsidR="00C001F8" w:rsidRPr="00FD69F6">
        <w:rPr>
          <w:rFonts w:asciiTheme="minorHAnsi" w:hAnsiTheme="minorHAnsi"/>
          <w:sz w:val="16"/>
          <w:szCs w:val="16"/>
        </w:rPr>
        <w:t>, J. (</w:t>
      </w:r>
      <w:proofErr w:type="spellStart"/>
      <w:r w:rsidR="00C001F8" w:rsidRPr="00FD69F6">
        <w:rPr>
          <w:rFonts w:asciiTheme="minorHAnsi" w:hAnsiTheme="minorHAnsi"/>
          <w:sz w:val="16"/>
          <w:szCs w:val="16"/>
        </w:rPr>
        <w:t>n.d.</w:t>
      </w:r>
      <w:proofErr w:type="spellEnd"/>
      <w:r w:rsidR="00C001F8" w:rsidRPr="00FD69F6">
        <w:rPr>
          <w:rFonts w:asciiTheme="minorHAnsi" w:hAnsiTheme="minorHAnsi"/>
          <w:sz w:val="16"/>
          <w:szCs w:val="16"/>
        </w:rPr>
        <w:t xml:space="preserve">). Teaching dossier rubric for evaluation. Toronto: </w:t>
      </w:r>
      <w:bookmarkStart w:id="0" w:name="_GoBack"/>
      <w:bookmarkEnd w:id="0"/>
      <w:r w:rsidR="00C001F8" w:rsidRPr="00FD69F6">
        <w:rPr>
          <w:rFonts w:asciiTheme="minorHAnsi" w:hAnsiTheme="minorHAnsi"/>
          <w:sz w:val="16"/>
          <w:szCs w:val="16"/>
        </w:rPr>
        <w:t xml:space="preserve">Ryerson University. Retrieved from </w:t>
      </w:r>
      <w:hyperlink r:id="rId6" w:history="1">
        <w:r w:rsidR="00C001F8" w:rsidRPr="00FD69F6">
          <w:rPr>
            <w:rStyle w:val="Hyperlink"/>
            <w:rFonts w:asciiTheme="minorHAnsi" w:hAnsiTheme="minorHAnsi"/>
            <w:sz w:val="16"/>
            <w:szCs w:val="16"/>
          </w:rPr>
          <w:t>http://www.ryerson.ca/lt/programs/workshops/dossier_rubric_final.pdf</w:t>
        </w:r>
      </w:hyperlink>
      <w:r w:rsidR="00C001F8" w:rsidRPr="00FD69F6">
        <w:rPr>
          <w:rFonts w:asciiTheme="minorHAnsi" w:hAnsiTheme="minorHAnsi"/>
          <w:sz w:val="16"/>
          <w:szCs w:val="16"/>
        </w:rPr>
        <w:t xml:space="preserve"> and Indiana University. (2007). </w:t>
      </w:r>
      <w:r w:rsidR="00C001F8" w:rsidRPr="00FD69F6">
        <w:rPr>
          <w:rFonts w:asciiTheme="minorHAnsi" w:hAnsiTheme="minorHAnsi"/>
          <w:i/>
          <w:sz w:val="16"/>
          <w:szCs w:val="16"/>
        </w:rPr>
        <w:t xml:space="preserve">Rubric for evaluating teaching portfolios for M620 </w:t>
      </w:r>
      <w:proofErr w:type="spellStart"/>
      <w:r w:rsidR="00C001F8" w:rsidRPr="00FD69F6">
        <w:rPr>
          <w:rFonts w:asciiTheme="minorHAnsi" w:hAnsiTheme="minorHAnsi"/>
          <w:i/>
          <w:sz w:val="16"/>
          <w:szCs w:val="16"/>
        </w:rPr>
        <w:t>SoTL</w:t>
      </w:r>
      <w:proofErr w:type="spellEnd"/>
      <w:r w:rsidR="00C001F8" w:rsidRPr="00FD69F6">
        <w:rPr>
          <w:rFonts w:asciiTheme="minorHAnsi" w:hAnsiTheme="minorHAnsi"/>
          <w:i/>
          <w:sz w:val="16"/>
          <w:szCs w:val="16"/>
        </w:rPr>
        <w:t xml:space="preserve"> study.</w:t>
      </w:r>
      <w:r w:rsidR="00C001F8" w:rsidRPr="00FD69F6">
        <w:rPr>
          <w:rFonts w:asciiTheme="minorHAnsi" w:hAnsiTheme="minorHAnsi"/>
          <w:sz w:val="16"/>
          <w:szCs w:val="16"/>
        </w:rPr>
        <w:t xml:space="preserve"> Bloomington, IN: Indiana University.</w:t>
      </w:r>
      <w:r w:rsidR="00B34178" w:rsidRPr="00FD69F6">
        <w:rPr>
          <w:rFonts w:asciiTheme="minorHAnsi" w:hAnsiTheme="minorHAnsi"/>
          <w:sz w:val="16"/>
          <w:szCs w:val="16"/>
        </w:rPr>
        <w:tab/>
      </w:r>
    </w:p>
    <w:sectPr w:rsidR="00CF704C" w:rsidRPr="00FD69F6" w:rsidSect="00E61822">
      <w:headerReference w:type="default" r:id="rId7"/>
      <w:footerReference w:type="default" r:id="rId8"/>
      <w:pgSz w:w="12240" w:h="15840"/>
      <w:pgMar w:top="1134" w:right="1134" w:bottom="851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C4" w:rsidRDefault="00CD18C4" w:rsidP="00CF704C">
      <w:pPr>
        <w:spacing w:after="0" w:line="240" w:lineRule="auto"/>
      </w:pPr>
      <w:r>
        <w:separator/>
      </w:r>
    </w:p>
  </w:endnote>
  <w:endnote w:type="continuationSeparator" w:id="0">
    <w:p w:rsidR="00CD18C4" w:rsidRDefault="00CD18C4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C" w:rsidRDefault="00CF704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C4" w:rsidRDefault="00CD18C4" w:rsidP="00CF704C">
      <w:pPr>
        <w:spacing w:after="0" w:line="240" w:lineRule="auto"/>
      </w:pPr>
      <w:r>
        <w:separator/>
      </w:r>
    </w:p>
  </w:footnote>
  <w:footnote w:type="continuationSeparator" w:id="0">
    <w:p w:rsidR="00CD18C4" w:rsidRDefault="00CD18C4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F704C">
        <w:pPr>
          <w:pStyle w:val="Header"/>
          <w:jc w:val="right"/>
          <w:rPr>
            <w:rFonts w:asciiTheme="minorHAnsi" w:hAnsiTheme="minorHAnsi"/>
            <w:szCs w:val="20"/>
          </w:rPr>
        </w:pPr>
        <w:r w:rsidRPr="00FF1350">
          <w:rPr>
            <w:rFonts w:asciiTheme="minorHAnsi" w:hAnsiTheme="minorHAnsi"/>
            <w:szCs w:val="20"/>
          </w:rPr>
          <w:t xml:space="preserve">Page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FD69F6">
          <w:rPr>
            <w:rFonts w:asciiTheme="minorHAnsi" w:hAnsiTheme="minorHAnsi"/>
            <w:bCs/>
            <w:noProof/>
            <w:szCs w:val="20"/>
          </w:rPr>
          <w:t>1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  <w:r w:rsidRPr="00FF1350">
          <w:rPr>
            <w:rFonts w:asciiTheme="minorHAnsi" w:hAnsiTheme="minorHAnsi"/>
            <w:szCs w:val="20"/>
          </w:rPr>
          <w:t xml:space="preserve"> of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FD69F6">
          <w:rPr>
            <w:rFonts w:asciiTheme="minorHAnsi" w:hAnsiTheme="minorHAnsi"/>
            <w:bCs/>
            <w:noProof/>
            <w:szCs w:val="20"/>
          </w:rPr>
          <w:t>2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8"/>
    <w:rsid w:val="00080A00"/>
    <w:rsid w:val="000B099B"/>
    <w:rsid w:val="001F15A8"/>
    <w:rsid w:val="00256B1C"/>
    <w:rsid w:val="0071703C"/>
    <w:rsid w:val="009B5F8E"/>
    <w:rsid w:val="00A11CD6"/>
    <w:rsid w:val="00B34178"/>
    <w:rsid w:val="00C001F8"/>
    <w:rsid w:val="00CD18C4"/>
    <w:rsid w:val="00CF704C"/>
    <w:rsid w:val="00E61822"/>
    <w:rsid w:val="00FD69F6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101F"/>
  <w15:chartTrackingRefBased/>
  <w15:docId w15:val="{BACA5EC5-FB12-476F-A9A7-BE729DFA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C001F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01F8"/>
    <w:rPr>
      <w:color w:val="0563C1" w:themeColor="hyperlink"/>
      <w:u w:val="single"/>
    </w:rPr>
  </w:style>
  <w:style w:type="character" w:customStyle="1" w:styleId="A2">
    <w:name w:val="A2"/>
    <w:uiPriority w:val="99"/>
    <w:rsid w:val="00FD69F6"/>
    <w:rPr>
      <w:rFonts w:cs="Minion Pro"/>
      <w:color w:val="221E1F"/>
      <w:sz w:val="20"/>
      <w:szCs w:val="20"/>
    </w:rPr>
  </w:style>
  <w:style w:type="character" w:customStyle="1" w:styleId="A4">
    <w:name w:val="A4"/>
    <w:uiPriority w:val="99"/>
    <w:rsid w:val="00FD69F6"/>
    <w:rPr>
      <w:rFonts w:cs="Minion Pro"/>
      <w:color w:val="221E1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erson.ca/lt/programs/workshops/dossier_rubric_final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el\Desktop\Templates\CIEL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CIEL Colour Template.dotx</Template>
  <TotalTime>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5</cp:revision>
  <dcterms:created xsi:type="dcterms:W3CDTF">2016-08-10T20:36:00Z</dcterms:created>
  <dcterms:modified xsi:type="dcterms:W3CDTF">2016-08-13T00:09:00Z</dcterms:modified>
</cp:coreProperties>
</file>