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A5" w:rsidRPr="009531DD" w:rsidRDefault="00A673A5" w:rsidP="006C0AD2">
      <w:pPr>
        <w:spacing w:after="120" w:line="247" w:lineRule="auto"/>
        <w:rPr>
          <w:b/>
        </w:rPr>
      </w:pPr>
      <w:r w:rsidRPr="009531DD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9186881" cy="462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ey faculty memb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881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1DD">
        <w:rPr>
          <w:b/>
        </w:rPr>
        <w:t>Explanation</w:t>
      </w:r>
      <w:r w:rsidR="009531DD">
        <w:rPr>
          <w:b/>
        </w:rPr>
        <w:t xml:space="preserve">: </w:t>
      </w:r>
      <w:r w:rsidRPr="009531DD">
        <w:rPr>
          <w:sz w:val="20"/>
          <w:szCs w:val="20"/>
        </w:rPr>
        <w:t>Faculty have a journey that is much like an infinity circle</w:t>
      </w:r>
      <w:r w:rsidR="006C0AD2">
        <w:rPr>
          <w:sz w:val="20"/>
          <w:szCs w:val="20"/>
        </w:rPr>
        <w:t>:</w:t>
      </w:r>
      <w:r w:rsidRPr="009531DD">
        <w:rPr>
          <w:sz w:val="20"/>
          <w:szCs w:val="20"/>
        </w:rPr>
        <w:t xml:space="preserve"> often looping around and around </w:t>
      </w:r>
      <w:r w:rsidR="009531DD">
        <w:rPr>
          <w:sz w:val="20"/>
          <w:szCs w:val="20"/>
        </w:rPr>
        <w:t xml:space="preserve">as they progress </w:t>
      </w:r>
      <w:r w:rsidRPr="009531DD">
        <w:rPr>
          <w:sz w:val="20"/>
          <w:szCs w:val="20"/>
        </w:rPr>
        <w:t>through the various stages of their career. Many faculty begin focusing on engaging st</w:t>
      </w:r>
      <w:r w:rsidR="006C0AD2">
        <w:rPr>
          <w:sz w:val="20"/>
          <w:szCs w:val="20"/>
        </w:rPr>
        <w:t>udents in learning about course components</w:t>
      </w:r>
      <w:r w:rsidR="009531DD" w:rsidRPr="009531DD">
        <w:rPr>
          <w:sz w:val="20"/>
          <w:szCs w:val="20"/>
        </w:rPr>
        <w:t>. Engaging students requires making changes to their practice and trying out new strategies, activities or ideas. After sometime, faculty members may look at the design of learning from a larger point of view. They may focus on how their course fits within the program or consider redesigning parts of or all parts of a course. The student engagement and design of learning stages might continue for several years oscillating back and forth. At some point, faculty members start looking at their practice from a scholarly reflection and inquiry point of view. They may invite colleagues in to their classes for a peer observation activity or they may begin gathering evidence of student learning and consider publicly sharin</w:t>
      </w:r>
      <w:r w:rsidR="006C0AD2">
        <w:rPr>
          <w:sz w:val="20"/>
          <w:szCs w:val="20"/>
        </w:rPr>
        <w:t>g their successes and failures.</w:t>
      </w:r>
      <w:r w:rsidR="009531DD" w:rsidRPr="009531DD">
        <w:rPr>
          <w:sz w:val="20"/>
          <w:szCs w:val="20"/>
        </w:rPr>
        <w:t xml:space="preserve"> Scholarly reflection sometimes leads to faculty taking on leadership roles to onboard and mentor new colleagues, lead a program redesign initiative, or undertake an institutional role in</w:t>
      </w:r>
      <w:r w:rsidR="006C0AD2">
        <w:rPr>
          <w:sz w:val="20"/>
          <w:szCs w:val="20"/>
        </w:rPr>
        <w:t xml:space="preserve"> enhancing</w:t>
      </w:r>
      <w:r w:rsidR="009531DD" w:rsidRPr="009531DD">
        <w:rPr>
          <w:sz w:val="20"/>
          <w:szCs w:val="20"/>
        </w:rPr>
        <w:t xml:space="preserve"> teaching and learning. This is often characterized by </w:t>
      </w:r>
      <w:r w:rsidR="006C0AD2">
        <w:rPr>
          <w:sz w:val="20"/>
          <w:szCs w:val="20"/>
        </w:rPr>
        <w:t xml:space="preserve">faculty </w:t>
      </w:r>
      <w:r w:rsidR="009531DD" w:rsidRPr="009531DD">
        <w:rPr>
          <w:sz w:val="20"/>
          <w:szCs w:val="20"/>
        </w:rPr>
        <w:t>wanting to share and le</w:t>
      </w:r>
      <w:r w:rsidR="006C0AD2">
        <w:rPr>
          <w:sz w:val="20"/>
          <w:szCs w:val="20"/>
        </w:rPr>
        <w:t>arn beyond their own program. They also</w:t>
      </w:r>
      <w:r w:rsidR="009531DD" w:rsidRPr="009531DD">
        <w:rPr>
          <w:sz w:val="20"/>
          <w:szCs w:val="20"/>
        </w:rPr>
        <w:t xml:space="preserve"> </w:t>
      </w:r>
      <w:r w:rsidR="006C0AD2">
        <w:rPr>
          <w:sz w:val="20"/>
          <w:szCs w:val="20"/>
        </w:rPr>
        <w:t>might take</w:t>
      </w:r>
      <w:r w:rsidR="009531DD" w:rsidRPr="009531DD">
        <w:rPr>
          <w:sz w:val="20"/>
          <w:szCs w:val="20"/>
        </w:rPr>
        <w:t xml:space="preserve"> on leadership roles in provincial and national teaching and learning communities</w:t>
      </w:r>
      <w:r w:rsidR="009531DD">
        <w:t>.</w:t>
      </w:r>
      <w:r w:rsidR="006C0AD2">
        <w:br/>
      </w:r>
      <w:bookmarkStart w:id="0" w:name="_GoBack"/>
      <w:bookmarkEnd w:id="0"/>
    </w:p>
    <w:p w:rsidR="009531DD" w:rsidRPr="00B30499" w:rsidRDefault="00A673A5">
      <w:pPr>
        <w:rPr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>
            <wp:extent cx="838200" cy="295275"/>
            <wp:effectExtent l="0" t="0" r="0" b="9525"/>
            <wp:docPr id="2" name="Picture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30499">
        <w:rPr>
          <w:sz w:val="20"/>
          <w:szCs w:val="20"/>
        </w:rPr>
        <w:t xml:space="preserve">Creative Commons License: </w:t>
      </w:r>
      <w:hyperlink r:id="rId7" w:history="1">
        <w:r w:rsidRPr="00B30499">
          <w:rPr>
            <w:rStyle w:val="Hyperlink"/>
            <w:sz w:val="20"/>
            <w:szCs w:val="20"/>
          </w:rPr>
          <w:t>CC BY-SA 4.0</w:t>
        </w:r>
      </w:hyperlink>
      <w:r w:rsidR="009531DD" w:rsidRPr="00B30499">
        <w:rPr>
          <w:sz w:val="20"/>
          <w:szCs w:val="20"/>
        </w:rPr>
        <w:t xml:space="preserve">   | Liesel </w:t>
      </w:r>
      <w:proofErr w:type="spellStart"/>
      <w:r w:rsidR="00B30499">
        <w:rPr>
          <w:sz w:val="20"/>
          <w:szCs w:val="20"/>
        </w:rPr>
        <w:t>Knaack</w:t>
      </w:r>
      <w:proofErr w:type="spellEnd"/>
      <w:r w:rsidR="00B30499">
        <w:rPr>
          <w:sz w:val="20"/>
          <w:szCs w:val="20"/>
        </w:rPr>
        <w:t>,</w:t>
      </w:r>
      <w:r w:rsidR="00B30499" w:rsidRPr="00B30499">
        <w:rPr>
          <w:sz w:val="20"/>
          <w:szCs w:val="20"/>
        </w:rPr>
        <w:t xml:space="preserve"> Centre for Innovation and Excellence in Learning | </w:t>
      </w:r>
      <w:r w:rsidR="009531DD" w:rsidRPr="00B30499">
        <w:rPr>
          <w:sz w:val="20"/>
          <w:szCs w:val="20"/>
        </w:rPr>
        <w:t>Vancouver Island University (2017)</w:t>
      </w:r>
    </w:p>
    <w:sectPr w:rsidR="009531DD" w:rsidRPr="00B30499" w:rsidSect="00A673A5">
      <w:pgSz w:w="15840" w:h="12240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A5"/>
    <w:rsid w:val="006C0AD2"/>
    <w:rsid w:val="009531DD"/>
    <w:rsid w:val="00A673A5"/>
    <w:rsid w:val="00B30499"/>
    <w:rsid w:val="00B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1408"/>
  <w15:chartTrackingRefBased/>
  <w15:docId w15:val="{71A21A62-7B4F-472C-B293-82C1104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3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73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6EDD-5935-46C9-80D5-E03C7FDC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2</cp:revision>
  <dcterms:created xsi:type="dcterms:W3CDTF">2017-08-19T18:48:00Z</dcterms:created>
  <dcterms:modified xsi:type="dcterms:W3CDTF">2017-08-19T19:20:00Z</dcterms:modified>
</cp:coreProperties>
</file>