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CF" w:rsidRDefault="001958CF" w:rsidP="0015108C"/>
    <w:p w:rsidR="0005225E" w:rsidRDefault="0005225E" w:rsidP="0015108C">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95250</wp:posOffset>
                </wp:positionV>
                <wp:extent cx="5873750" cy="7937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5873750" cy="793750"/>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45D" w:rsidRDefault="0005225E" w:rsidP="0005225E">
                            <w:pPr>
                              <w:rPr>
                                <w:b/>
                                <w:color w:val="FFFFFF" w:themeColor="background1"/>
                                <w:sz w:val="24"/>
                                <w:szCs w:val="24"/>
                              </w:rPr>
                            </w:pPr>
                            <w:r w:rsidRPr="00B418DA">
                              <w:rPr>
                                <w:b/>
                                <w:color w:val="FFFFFF" w:themeColor="background1"/>
                                <w:sz w:val="24"/>
                                <w:szCs w:val="24"/>
                              </w:rPr>
                              <w:t xml:space="preserve">Vancouver Island University </w:t>
                            </w:r>
                            <w:r w:rsidR="00B418DA">
                              <w:rPr>
                                <w:b/>
                                <w:color w:val="FFFFFF" w:themeColor="background1"/>
                                <w:sz w:val="24"/>
                                <w:szCs w:val="24"/>
                              </w:rPr>
                              <w:t xml:space="preserve">| </w:t>
                            </w:r>
                            <w:r w:rsidRPr="00B418DA">
                              <w:rPr>
                                <w:b/>
                                <w:color w:val="FFFFFF" w:themeColor="background1"/>
                                <w:sz w:val="24"/>
                                <w:szCs w:val="24"/>
                              </w:rPr>
                              <w:t>Teaching and Learning Conference</w:t>
                            </w:r>
                            <w:r w:rsidR="00B418DA">
                              <w:rPr>
                                <w:b/>
                                <w:color w:val="FFFFFF" w:themeColor="background1"/>
                                <w:sz w:val="24"/>
                                <w:szCs w:val="24"/>
                              </w:rPr>
                              <w:t xml:space="preserve"> | </w:t>
                            </w:r>
                            <w:r w:rsidR="00E0245D">
                              <w:rPr>
                                <w:b/>
                                <w:color w:val="FFFFFF" w:themeColor="background1"/>
                                <w:sz w:val="24"/>
                                <w:szCs w:val="24"/>
                              </w:rPr>
                              <w:t xml:space="preserve">W. Brook Pearce </w:t>
                            </w:r>
                          </w:p>
                          <w:p w:rsidR="0005225E" w:rsidRDefault="00B418DA">
                            <w:r>
                              <w:rPr>
                                <w:b/>
                                <w:color w:val="FFFFFF" w:themeColor="background1"/>
                                <w:sz w:val="24"/>
                                <w:szCs w:val="24"/>
                              </w:rPr>
                              <w:t>May 11, 2017</w:t>
                            </w:r>
                            <w:r w:rsidR="00E0245D">
                              <w:rPr>
                                <w:b/>
                                <w:color w:val="FFFFFF" w:themeColor="background1"/>
                                <w:sz w:val="24"/>
                                <w:szCs w:val="24"/>
                              </w:rPr>
                              <w:tab/>
                            </w:r>
                            <w:r w:rsidR="00E0245D">
                              <w:rPr>
                                <w:b/>
                                <w:color w:val="FFFFFF" w:themeColor="background1"/>
                                <w:sz w:val="24"/>
                                <w:szCs w:val="24"/>
                              </w:rPr>
                              <w:tab/>
                            </w:r>
                            <w:r w:rsidR="0005225E" w:rsidRPr="00B418DA">
                              <w:rPr>
                                <w:b/>
                                <w:color w:val="FFFFFF" w:themeColor="background1"/>
                                <w:sz w:val="24"/>
                                <w:szCs w:val="24"/>
                              </w:rPr>
                              <w:t>11:25 – 12:25</w:t>
                            </w:r>
                            <w:r w:rsidR="0005225E" w:rsidRPr="00B418DA">
                              <w:rPr>
                                <w:b/>
                                <w:color w:val="FFFFFF" w:themeColor="background1"/>
                                <w:sz w:val="24"/>
                                <w:szCs w:val="24"/>
                              </w:rPr>
                              <w:tab/>
                            </w:r>
                            <w:r w:rsidR="0005225E" w:rsidRPr="00B418DA">
                              <w:rPr>
                                <w:b/>
                                <w:color w:val="FFFFFF" w:themeColor="background1"/>
                                <w:sz w:val="24"/>
                                <w:szCs w:val="24"/>
                              </w:rPr>
                              <w:tab/>
                              <w:t>355/103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7.5pt;width:462.5pt;height: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" fillcolor="#44546a [3215]" strokeweight=".5pt">
                <v:textbox>
                  <w:txbxContent>
                    <w:p w:rsidR="00E0245D" w:rsidRDefault="0005225E" w:rsidP="0005225E">
                      <w:pPr>
                        <w:rPr>
                          <w:b/>
                          <w:color w:val="FFFFFF" w:themeColor="background1"/>
                          <w:sz w:val="24"/>
                          <w:szCs w:val="24"/>
                        </w:rPr>
                      </w:pPr>
                      <w:r w:rsidRPr="00B418DA">
                        <w:rPr>
                          <w:b/>
                          <w:color w:val="FFFFFF" w:themeColor="background1"/>
                          <w:sz w:val="24"/>
                          <w:szCs w:val="24"/>
                        </w:rPr>
                        <w:t xml:space="preserve">Vancouver Island University </w:t>
                      </w:r>
                      <w:r w:rsidR="00B418DA">
                        <w:rPr>
                          <w:b/>
                          <w:color w:val="FFFFFF" w:themeColor="background1"/>
                          <w:sz w:val="24"/>
                          <w:szCs w:val="24"/>
                        </w:rPr>
                        <w:t xml:space="preserve">| </w:t>
                      </w:r>
                      <w:r w:rsidRPr="00B418DA">
                        <w:rPr>
                          <w:b/>
                          <w:color w:val="FFFFFF" w:themeColor="background1"/>
                          <w:sz w:val="24"/>
                          <w:szCs w:val="24"/>
                        </w:rPr>
                        <w:t>Teaching and Learning Conference</w:t>
                      </w:r>
                      <w:r w:rsidR="00B418DA">
                        <w:rPr>
                          <w:b/>
                          <w:color w:val="FFFFFF" w:themeColor="background1"/>
                          <w:sz w:val="24"/>
                          <w:szCs w:val="24"/>
                        </w:rPr>
                        <w:t xml:space="preserve"> | </w:t>
                      </w:r>
                      <w:r w:rsidR="00E0245D">
                        <w:rPr>
                          <w:b/>
                          <w:color w:val="FFFFFF" w:themeColor="background1"/>
                          <w:sz w:val="24"/>
                          <w:szCs w:val="24"/>
                        </w:rPr>
                        <w:t xml:space="preserve">W. Brook Pearce </w:t>
                      </w:r>
                    </w:p>
                    <w:p w:rsidR="0005225E" w:rsidRDefault="00B418DA">
                      <w:r>
                        <w:rPr>
                          <w:b/>
                          <w:color w:val="FFFFFF" w:themeColor="background1"/>
                          <w:sz w:val="24"/>
                          <w:szCs w:val="24"/>
                        </w:rPr>
                        <w:t>May 11, 2017</w:t>
                      </w:r>
                      <w:r w:rsidR="00E0245D">
                        <w:rPr>
                          <w:b/>
                          <w:color w:val="FFFFFF" w:themeColor="background1"/>
                          <w:sz w:val="24"/>
                          <w:szCs w:val="24"/>
                        </w:rPr>
                        <w:tab/>
                      </w:r>
                      <w:r w:rsidR="00E0245D">
                        <w:rPr>
                          <w:b/>
                          <w:color w:val="FFFFFF" w:themeColor="background1"/>
                          <w:sz w:val="24"/>
                          <w:szCs w:val="24"/>
                        </w:rPr>
                        <w:tab/>
                      </w:r>
                      <w:r w:rsidR="0005225E" w:rsidRPr="00B418DA">
                        <w:rPr>
                          <w:b/>
                          <w:color w:val="FFFFFF" w:themeColor="background1"/>
                          <w:sz w:val="24"/>
                          <w:szCs w:val="24"/>
                        </w:rPr>
                        <w:t>11:25 – 12:25</w:t>
                      </w:r>
                      <w:r w:rsidR="0005225E" w:rsidRPr="00B418DA">
                        <w:rPr>
                          <w:b/>
                          <w:color w:val="FFFFFF" w:themeColor="background1"/>
                          <w:sz w:val="24"/>
                          <w:szCs w:val="24"/>
                        </w:rPr>
                        <w:tab/>
                      </w:r>
                      <w:r w:rsidR="0005225E" w:rsidRPr="00B418DA">
                        <w:rPr>
                          <w:b/>
                          <w:color w:val="FFFFFF" w:themeColor="background1"/>
                          <w:sz w:val="24"/>
                          <w:szCs w:val="24"/>
                        </w:rPr>
                        <w:tab/>
                        <w:t>355/103</w:t>
                      </w:r>
                    </w:p>
                  </w:txbxContent>
                </v:textbox>
              </v:shape>
            </w:pict>
          </mc:Fallback>
        </mc:AlternateContent>
      </w:r>
    </w:p>
    <w:p w:rsidR="0005225E" w:rsidRDefault="0005225E" w:rsidP="0015108C"/>
    <w:p w:rsidR="0005225E" w:rsidRDefault="0005225E" w:rsidP="0015108C"/>
    <w:p w:rsidR="0005225E" w:rsidRDefault="0005225E" w:rsidP="0015108C"/>
    <w:p w:rsidR="0054557F" w:rsidRDefault="0054557F" w:rsidP="0054557F">
      <w:r w:rsidRPr="0015108C">
        <w:rPr>
          <w:b/>
        </w:rPr>
        <w:t>Futureproofing learners</w:t>
      </w:r>
      <w:r>
        <w:t xml:space="preserve"> – Using Self - Assessment Tools </w:t>
      </w:r>
      <w:proofErr w:type="gramStart"/>
      <w:r>
        <w:t>To</w:t>
      </w:r>
      <w:proofErr w:type="gramEnd"/>
      <w:r>
        <w:t xml:space="preserve"> Help Learners Improve Their Employability.</w:t>
      </w:r>
    </w:p>
    <w:p w:rsidR="0054557F" w:rsidRDefault="0054557F" w:rsidP="0054557F">
      <w:r>
        <w:t>It is clear that the world of work is continually changing and many jobs we have in Canada today will either be automated, become redundant or some may not even exist yet.  So how do we prepare learners for this future?  How do we help them become more resilient and maybe even more entrepreneurial?  How do we help them look beyond job titles and job postings?  This workshop will explore a variety of reflective tools, by which learners can assess, their skills, workplace motivators, and interests with the intention of improving their employability, and long term employment resilience.</w:t>
      </w:r>
    </w:p>
    <w:p w:rsidR="0054557F" w:rsidRPr="0015108C" w:rsidRDefault="0054557F" w:rsidP="0054557F">
      <w:pPr>
        <w:rPr>
          <w:b/>
        </w:rPr>
      </w:pPr>
      <w:r w:rsidRPr="0015108C">
        <w:rPr>
          <w:b/>
        </w:rPr>
        <w:t>Workshop Plan</w:t>
      </w:r>
    </w:p>
    <w:p w:rsidR="0054557F" w:rsidRPr="0015108C" w:rsidRDefault="0054557F" w:rsidP="0054557F">
      <w:pPr>
        <w:rPr>
          <w:b/>
        </w:rPr>
      </w:pPr>
      <w:r w:rsidRPr="0015108C">
        <w:rPr>
          <w:b/>
        </w:rPr>
        <w:t xml:space="preserve">Purpose:  </w:t>
      </w:r>
    </w:p>
    <w:p w:rsidR="0054557F" w:rsidRDefault="0054557F" w:rsidP="0015108C">
      <w:pPr>
        <w:ind w:left="720"/>
      </w:pPr>
      <w:r>
        <w:t>Self-assessments are often seen as a formative academic assessment tool, however it is also the first and often most important step in choosing a career, designing a personal academic plan, or planning a future.  This self-assessment profile is intended to serve as a starting point for learners exploring and researching career paths.  However, these activities are useful and reflective touchstones throughout a person’s academic and/or work careers.  We will use two (2) self-assessment activities designed to help learner’s reflect on who they are and what might prove important to consider when exploring and adapting to careers in the future.</w:t>
      </w:r>
    </w:p>
    <w:p w:rsidR="0005225E" w:rsidRDefault="0005225E" w:rsidP="0054557F">
      <w:pPr>
        <w:rPr>
          <w:b/>
        </w:rPr>
      </w:pPr>
    </w:p>
    <w:p w:rsidR="0054557F" w:rsidRDefault="0054557F" w:rsidP="0054557F">
      <w:r w:rsidRPr="0015108C">
        <w:rPr>
          <w:b/>
        </w:rPr>
        <w:t>Context/Introduction:</w:t>
      </w:r>
      <w:r>
        <w:tab/>
      </w:r>
      <w:r>
        <w:tab/>
      </w:r>
      <w:r>
        <w:tab/>
      </w:r>
      <w:r>
        <w:tab/>
      </w:r>
      <w:r>
        <w:tab/>
      </w:r>
      <w:r>
        <w:tab/>
      </w:r>
      <w:r>
        <w:tab/>
      </w:r>
      <w:r>
        <w:tab/>
      </w:r>
      <w:r>
        <w:tab/>
      </w:r>
    </w:p>
    <w:p w:rsidR="0005225E" w:rsidRDefault="0005225E" w:rsidP="0054557F"/>
    <w:p w:rsidR="0054557F" w:rsidRDefault="0054557F" w:rsidP="0054557F">
      <w:r w:rsidRPr="0015108C">
        <w:rPr>
          <w:b/>
        </w:rPr>
        <w:t>1). Introduction to the Self-assessment Profile “Know Thyself”:</w:t>
      </w:r>
      <w:r>
        <w:tab/>
      </w:r>
      <w:r>
        <w:tab/>
      </w:r>
      <w:r>
        <w:tab/>
      </w:r>
      <w:r>
        <w:tab/>
      </w:r>
    </w:p>
    <w:p w:rsidR="0054557F" w:rsidRDefault="0005225E" w:rsidP="0015108C">
      <w:pPr>
        <w:ind w:left="720"/>
      </w:pPr>
      <w:r>
        <w:t>B</w:t>
      </w:r>
      <w:r w:rsidR="0054557F">
        <w:t xml:space="preserve">riefly </w:t>
      </w:r>
      <w:r>
        <w:t xml:space="preserve">review and </w:t>
      </w:r>
      <w:r w:rsidR="0054557F">
        <w:t>describe the 10 self-assessment activities associated with the profile.</w:t>
      </w:r>
    </w:p>
    <w:p w:rsidR="00B418DA" w:rsidRDefault="00B418DA" w:rsidP="0015108C">
      <w:pPr>
        <w:ind w:left="720"/>
      </w:pPr>
    </w:p>
    <w:p w:rsidR="0054557F" w:rsidRDefault="0054557F" w:rsidP="0054557F">
      <w:r w:rsidRPr="0015108C">
        <w:rPr>
          <w:b/>
        </w:rPr>
        <w:t xml:space="preserve">2). </w:t>
      </w:r>
      <w:proofErr w:type="gramStart"/>
      <w:r w:rsidRPr="0015108C">
        <w:rPr>
          <w:b/>
        </w:rPr>
        <w:t>The</w:t>
      </w:r>
      <w:proofErr w:type="gramEnd"/>
      <w:r w:rsidRPr="0015108C">
        <w:rPr>
          <w:b/>
        </w:rPr>
        <w:t xml:space="preserve"> importance of Workplace Attractors:</w:t>
      </w:r>
      <w:r>
        <w:tab/>
      </w:r>
      <w:r>
        <w:tab/>
      </w:r>
      <w:r>
        <w:tab/>
      </w:r>
      <w:r>
        <w:tab/>
      </w:r>
      <w:r>
        <w:tab/>
      </w:r>
      <w:r>
        <w:tab/>
      </w:r>
    </w:p>
    <w:p w:rsidR="0054557F" w:rsidRDefault="0054557F" w:rsidP="0015108C">
      <w:pPr>
        <w:ind w:left="720"/>
      </w:pPr>
      <w:r>
        <w:t>Dr. Norm Amundson’s “Workplace Attractors and Their Relationship to Career Decision Making, Recruitment and Retention.”</w:t>
      </w:r>
    </w:p>
    <w:p w:rsidR="001958CF" w:rsidRDefault="001958CF">
      <w:r>
        <w:br w:type="page"/>
      </w:r>
    </w:p>
    <w:p w:rsidR="001958CF" w:rsidRDefault="001958CF"/>
    <w:p w:rsidR="001958CF" w:rsidRDefault="00530DDC">
      <w:r>
        <w:rPr>
          <w:noProof/>
          <w:lang w:val="en-CA" w:eastAsia="en-CA"/>
        </w:rPr>
        <w:drawing>
          <wp:inline distT="0" distB="0" distL="0" distR="0" wp14:anchorId="5E8A1971">
            <wp:extent cx="5887085"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7085" cy="800100"/>
                    </a:xfrm>
                    <a:prstGeom prst="rect">
                      <a:avLst/>
                    </a:prstGeom>
                    <a:noFill/>
                  </pic:spPr>
                </pic:pic>
              </a:graphicData>
            </a:graphic>
          </wp:inline>
        </w:drawing>
      </w:r>
    </w:p>
    <w:p w:rsidR="001958CF" w:rsidRDefault="001958CF" w:rsidP="0015108C">
      <w:pPr>
        <w:ind w:left="720"/>
      </w:pPr>
    </w:p>
    <w:p w:rsidR="0054557F" w:rsidRDefault="0054557F" w:rsidP="0054557F">
      <w:r>
        <w:t xml:space="preserve">3). </w:t>
      </w:r>
      <w:proofErr w:type="gramStart"/>
      <w:r w:rsidRPr="0005225E">
        <w:rPr>
          <w:b/>
        </w:rPr>
        <w:t>The</w:t>
      </w:r>
      <w:proofErr w:type="gramEnd"/>
      <w:r w:rsidRPr="0005225E">
        <w:rPr>
          <w:b/>
        </w:rPr>
        <w:t xml:space="preserve"> Party</w:t>
      </w:r>
      <w:r>
        <w:t xml:space="preserve"> – </w:t>
      </w:r>
      <w:r>
        <w:tab/>
      </w:r>
      <w:r>
        <w:tab/>
      </w:r>
      <w:r>
        <w:tab/>
      </w:r>
      <w:r>
        <w:tab/>
      </w:r>
      <w:r>
        <w:tab/>
      </w:r>
      <w:r>
        <w:tab/>
      </w:r>
      <w:r>
        <w:tab/>
      </w:r>
      <w:r>
        <w:tab/>
      </w:r>
      <w:r>
        <w:tab/>
      </w:r>
      <w:r>
        <w:tab/>
      </w:r>
    </w:p>
    <w:p w:rsidR="0054557F" w:rsidRDefault="00B418DA" w:rsidP="0015108C">
      <w:pPr>
        <w:ind w:left="720"/>
      </w:pPr>
      <w:r>
        <w:t>I</w:t>
      </w:r>
      <w:r w:rsidR="0054557F">
        <w:t xml:space="preserve">nteractive group activity </w:t>
      </w:r>
      <w:r>
        <w:t xml:space="preserve">based upon </w:t>
      </w:r>
      <w:r w:rsidR="0054557F">
        <w:t>Dr. John Holland’s theory of “Making Vocational Choices.”</w:t>
      </w:r>
    </w:p>
    <w:p w:rsidR="00B418DA" w:rsidRDefault="00B418DA" w:rsidP="0015108C">
      <w:pPr>
        <w:ind w:left="720"/>
      </w:pPr>
    </w:p>
    <w:p w:rsidR="0054557F" w:rsidRDefault="0054557F" w:rsidP="0054557F">
      <w:r>
        <w:t xml:space="preserve">4). </w:t>
      </w:r>
      <w:r w:rsidRPr="0005225E">
        <w:rPr>
          <w:b/>
        </w:rPr>
        <w:t>Small group discussion:  Reflecting on the self-assessment profile</w:t>
      </w:r>
      <w:r>
        <w:tab/>
      </w:r>
      <w:r>
        <w:tab/>
      </w:r>
      <w:r>
        <w:tab/>
      </w:r>
    </w:p>
    <w:p w:rsidR="0054557F" w:rsidRDefault="0054557F" w:rsidP="0015108C">
      <w:pPr>
        <w:ind w:left="720"/>
      </w:pPr>
      <w:r>
        <w:t>Participants will go back to their first Holland group to discuss how they might use the self-assessment profile in their own practice.  (Two questions maybe)</w:t>
      </w:r>
    </w:p>
    <w:p w:rsidR="0054557F" w:rsidRDefault="0054557F" w:rsidP="0015108C">
      <w:pPr>
        <w:ind w:left="720"/>
      </w:pPr>
      <w:r>
        <w:tab/>
        <w:t>How might you adapt and use this self-assessment with your students in your discipline?</w:t>
      </w:r>
    </w:p>
    <w:p w:rsidR="0054557F" w:rsidRDefault="0054557F" w:rsidP="0005225E">
      <w:pPr>
        <w:ind w:left="1440"/>
      </w:pPr>
      <w:r>
        <w:t>How might this self-assessment profile support learning in your disciple, department or program?</w:t>
      </w:r>
    </w:p>
    <w:p w:rsidR="00B418DA" w:rsidRDefault="00B418DA" w:rsidP="0005225E">
      <w:pPr>
        <w:ind w:left="1440"/>
      </w:pPr>
    </w:p>
    <w:p w:rsidR="0054557F" w:rsidRDefault="0054557F" w:rsidP="0054557F">
      <w:r w:rsidRPr="0005225E">
        <w:rPr>
          <w:b/>
        </w:rPr>
        <w:t>5). Revisit Workplace Attractors:</w:t>
      </w:r>
      <w:r>
        <w:tab/>
      </w:r>
      <w:r>
        <w:tab/>
      </w:r>
      <w:r>
        <w:tab/>
      </w:r>
      <w:r>
        <w:tab/>
      </w:r>
      <w:r>
        <w:tab/>
      </w:r>
      <w:r>
        <w:tab/>
      </w:r>
      <w:r>
        <w:tab/>
      </w:r>
    </w:p>
    <w:p w:rsidR="00B418DA" w:rsidRDefault="00B418DA" w:rsidP="0054557F"/>
    <w:p w:rsidR="0054557F" w:rsidRPr="0005225E" w:rsidRDefault="0054557F" w:rsidP="0054557F">
      <w:pPr>
        <w:rPr>
          <w:b/>
        </w:rPr>
      </w:pPr>
      <w:r w:rsidRPr="0005225E">
        <w:rPr>
          <w:b/>
        </w:rPr>
        <w:t xml:space="preserve">6). </w:t>
      </w:r>
      <w:r w:rsidR="00B87700" w:rsidRPr="0005225E">
        <w:rPr>
          <w:b/>
        </w:rPr>
        <w:t>Recap</w:t>
      </w:r>
      <w:r w:rsidR="00B87700">
        <w:rPr>
          <w:b/>
        </w:rPr>
        <w:t>itulate</w:t>
      </w:r>
      <w:r w:rsidRPr="0005225E">
        <w:rPr>
          <w:b/>
        </w:rPr>
        <w:t>:</w:t>
      </w:r>
      <w:r w:rsidRPr="0005225E">
        <w:rPr>
          <w:b/>
        </w:rPr>
        <w:tab/>
      </w:r>
      <w:r w:rsidRPr="0005225E">
        <w:rPr>
          <w:b/>
        </w:rPr>
        <w:tab/>
      </w:r>
      <w:r w:rsidRPr="0005225E">
        <w:rPr>
          <w:b/>
        </w:rPr>
        <w:tab/>
      </w:r>
      <w:r w:rsidRPr="0005225E">
        <w:rPr>
          <w:b/>
        </w:rPr>
        <w:tab/>
      </w:r>
      <w:r w:rsidRPr="0005225E">
        <w:rPr>
          <w:b/>
        </w:rPr>
        <w:tab/>
      </w:r>
      <w:r w:rsidRPr="0005225E">
        <w:rPr>
          <w:b/>
        </w:rPr>
        <w:tab/>
      </w:r>
      <w:r w:rsidRPr="0005225E">
        <w:rPr>
          <w:b/>
        </w:rPr>
        <w:tab/>
      </w:r>
      <w:r w:rsidRPr="0005225E">
        <w:rPr>
          <w:b/>
        </w:rPr>
        <w:tab/>
      </w:r>
      <w:r w:rsidRPr="0005225E">
        <w:rPr>
          <w:b/>
        </w:rPr>
        <w:tab/>
      </w:r>
      <w:r w:rsidRPr="0005225E">
        <w:rPr>
          <w:b/>
        </w:rPr>
        <w:tab/>
      </w:r>
    </w:p>
    <w:p w:rsidR="0054557F" w:rsidRDefault="0054557F" w:rsidP="0015108C">
      <w:pPr>
        <w:ind w:left="720"/>
      </w:pPr>
      <w:r>
        <w:t xml:space="preserve">Briefly recap the Self-assessment Profile and introduce the handouts, resources and other tools associated with the profile: Employability Skills, Accomplishments, Catalytic Events, Flow, </w:t>
      </w:r>
      <w:proofErr w:type="gramStart"/>
      <w:r>
        <w:t>O</w:t>
      </w:r>
      <w:proofErr w:type="gramEnd"/>
      <w:r>
        <w:t xml:space="preserve">*Net and </w:t>
      </w:r>
      <w:proofErr w:type="spellStart"/>
      <w:r>
        <w:t>Sokanu</w:t>
      </w:r>
      <w:proofErr w:type="spellEnd"/>
      <w:r>
        <w:t>.</w:t>
      </w:r>
    </w:p>
    <w:p w:rsidR="0054557F" w:rsidRDefault="0054557F" w:rsidP="0054557F"/>
    <w:p w:rsidR="0015108C" w:rsidRDefault="0015108C">
      <w:r>
        <w:br w:type="page"/>
      </w:r>
      <w:bookmarkStart w:id="0" w:name="_GoBack"/>
      <w:bookmarkEnd w:id="0"/>
    </w:p>
    <w:p w:rsidR="0054557F" w:rsidRDefault="0054557F" w:rsidP="0054557F"/>
    <w:p w:rsidR="001958CF" w:rsidRDefault="00530DDC" w:rsidP="0054557F">
      <w:r>
        <w:rPr>
          <w:noProof/>
          <w:lang w:val="en-CA" w:eastAsia="en-CA"/>
        </w:rPr>
        <w:drawing>
          <wp:inline distT="0" distB="0" distL="0" distR="0" wp14:anchorId="68A8ADA1">
            <wp:extent cx="5887085"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7085" cy="800100"/>
                    </a:xfrm>
                    <a:prstGeom prst="rect">
                      <a:avLst/>
                    </a:prstGeom>
                    <a:noFill/>
                  </pic:spPr>
                </pic:pic>
              </a:graphicData>
            </a:graphic>
          </wp:inline>
        </w:drawing>
      </w:r>
    </w:p>
    <w:p w:rsidR="001958CF" w:rsidRDefault="001958CF" w:rsidP="0054557F"/>
    <w:p w:rsidR="0054557F" w:rsidRPr="00B418DA" w:rsidRDefault="0054557F" w:rsidP="0054557F">
      <w:pPr>
        <w:rPr>
          <w:b/>
        </w:rPr>
      </w:pPr>
      <w:r w:rsidRPr="00B418DA">
        <w:rPr>
          <w:b/>
        </w:rPr>
        <w:t>Resources:</w:t>
      </w:r>
    </w:p>
    <w:p w:rsidR="0054557F" w:rsidRDefault="009A2DB0" w:rsidP="00FE3C6B">
      <w:pPr>
        <w:spacing w:after="120" w:line="240" w:lineRule="auto"/>
      </w:pPr>
      <w:r>
        <w:t xml:space="preserve">Amundson, Dr. Norman. (2003) </w:t>
      </w:r>
      <w:proofErr w:type="gramStart"/>
      <w:r>
        <w:t>T</w:t>
      </w:r>
      <w:r w:rsidR="0054557F">
        <w:t>he</w:t>
      </w:r>
      <w:proofErr w:type="gramEnd"/>
      <w:r w:rsidR="0054557F">
        <w:t xml:space="preserve"> Physics of Living. Richmond: Ergon Communications</w:t>
      </w:r>
    </w:p>
    <w:p w:rsidR="00FE3C6B" w:rsidRDefault="00FE3C6B" w:rsidP="00FE3C6B">
      <w:pPr>
        <w:spacing w:after="120" w:line="240" w:lineRule="auto"/>
      </w:pPr>
    </w:p>
    <w:p w:rsidR="0054557F" w:rsidRDefault="0054557F" w:rsidP="00FE3C6B">
      <w:pPr>
        <w:spacing w:after="120" w:line="240" w:lineRule="auto"/>
      </w:pPr>
      <w:r>
        <w:t>Amundson, Dr. Norman. (2006) Workplace Attractors and Their Relationship to Career Decision Making, Recruitment and Retention. Vancouver: University of British Columbia</w:t>
      </w:r>
    </w:p>
    <w:p w:rsidR="00FE3C6B" w:rsidRDefault="00FE3C6B" w:rsidP="00FE3C6B">
      <w:pPr>
        <w:spacing w:after="120" w:line="240" w:lineRule="auto"/>
      </w:pPr>
    </w:p>
    <w:p w:rsidR="0054557F" w:rsidRDefault="0054557F" w:rsidP="00FE3C6B">
      <w:pPr>
        <w:spacing w:after="120" w:line="240" w:lineRule="auto"/>
      </w:pPr>
      <w:proofErr w:type="spellStart"/>
      <w:r>
        <w:t>Csikszentmihalyi</w:t>
      </w:r>
      <w:proofErr w:type="spellEnd"/>
      <w:r>
        <w:t xml:space="preserve">, Dr. </w:t>
      </w:r>
      <w:proofErr w:type="spellStart"/>
      <w:r>
        <w:t>Mihaly</w:t>
      </w:r>
      <w:proofErr w:type="spellEnd"/>
      <w:r>
        <w:t xml:space="preserve"> (1990) Flow the Psychology of Optimal Experience. New York: HarperCollins</w:t>
      </w:r>
    </w:p>
    <w:p w:rsidR="00FE3C6B" w:rsidRDefault="00FE3C6B" w:rsidP="00FE3C6B">
      <w:pPr>
        <w:spacing w:after="120" w:line="240" w:lineRule="auto"/>
      </w:pPr>
    </w:p>
    <w:p w:rsidR="0054557F" w:rsidRDefault="0054557F" w:rsidP="00FE3C6B">
      <w:pPr>
        <w:spacing w:after="120" w:line="240" w:lineRule="auto"/>
        <w:rPr>
          <w:rStyle w:val="Hyperlink"/>
        </w:rPr>
      </w:pPr>
      <w:r>
        <w:t xml:space="preserve">Employability Skills 2000+ (2017). </w:t>
      </w:r>
      <w:hyperlink r:id="rId7" w:history="1">
        <w:r w:rsidR="00530DDC" w:rsidRPr="003E14FF">
          <w:rPr>
            <w:rStyle w:val="Hyperlink"/>
          </w:rPr>
          <w:t>http://www.conferenceboard.ca/topics/education/learning-tools/employability-skills.aspx</w:t>
        </w:r>
      </w:hyperlink>
    </w:p>
    <w:p w:rsidR="00FE3C6B" w:rsidRDefault="00FE3C6B" w:rsidP="00FE3C6B">
      <w:pPr>
        <w:spacing w:after="120" w:line="240" w:lineRule="auto"/>
      </w:pPr>
    </w:p>
    <w:p w:rsidR="00FE3C6B" w:rsidRPr="00FE3C6B" w:rsidRDefault="00FE3C6B" w:rsidP="00FE3C6B">
      <w:pPr>
        <w:spacing w:after="120" w:line="240" w:lineRule="auto"/>
        <w:rPr>
          <w:color w:val="000000"/>
          <w:lang w:val="en-CA"/>
        </w:rPr>
      </w:pPr>
      <w:r w:rsidRPr="00FE3C6B">
        <w:rPr>
          <w:color w:val="000000"/>
          <w:lang w:val="en-CA"/>
        </w:rPr>
        <w:t>Evans, Pete (2017), Trump pulls U.S. out of TPP, will renegotiate NAFTA ‘at the appropriate time,’ CBC News. January 23, 2017</w:t>
      </w:r>
    </w:p>
    <w:p w:rsidR="00FE3C6B" w:rsidRDefault="00FE3C6B" w:rsidP="00FE3C6B">
      <w:pPr>
        <w:spacing w:after="120" w:line="240" w:lineRule="auto"/>
        <w:rPr>
          <w:color w:val="000000"/>
          <w:lang w:val="en-CA"/>
        </w:rPr>
      </w:pPr>
      <w:hyperlink r:id="rId8" w:history="1">
        <w:r w:rsidRPr="00CC176F">
          <w:rPr>
            <w:rStyle w:val="Hyperlink"/>
            <w:lang w:val="en-CA"/>
          </w:rPr>
          <w:t>http://www.cbc.ca/news/business/donald-trump-trade-nafta-1.3947989</w:t>
        </w:r>
      </w:hyperlink>
    </w:p>
    <w:p w:rsidR="00FE3C6B" w:rsidRDefault="00FE3C6B" w:rsidP="00FE3C6B">
      <w:pPr>
        <w:spacing w:after="120" w:line="240" w:lineRule="auto"/>
        <w:rPr>
          <w:color w:val="000000"/>
          <w:lang w:val="en-CA"/>
        </w:rPr>
      </w:pPr>
    </w:p>
    <w:p w:rsidR="00530DDC" w:rsidRPr="008138A9" w:rsidRDefault="00530DDC" w:rsidP="00FE3C6B">
      <w:pPr>
        <w:spacing w:after="120" w:line="240" w:lineRule="auto"/>
        <w:rPr>
          <w:color w:val="000000"/>
          <w:lang w:val="en-CA"/>
        </w:rPr>
      </w:pPr>
      <w:r w:rsidRPr="008138A9">
        <w:rPr>
          <w:color w:val="000000"/>
          <w:lang w:val="en-CA"/>
        </w:rPr>
        <w:t xml:space="preserve">Fowler, H. N. (1966). </w:t>
      </w:r>
      <w:r w:rsidRPr="008138A9">
        <w:rPr>
          <w:i/>
          <w:iCs/>
          <w:color w:val="000000"/>
          <w:lang w:val="en-CA"/>
        </w:rPr>
        <w:t>Plato in Twelve Volumes</w:t>
      </w:r>
      <w:r w:rsidRPr="008138A9">
        <w:rPr>
          <w:color w:val="000000"/>
          <w:lang w:val="en-CA"/>
        </w:rPr>
        <w:t xml:space="preserve"> (Vol. 1). London: Harvard University Press</w:t>
      </w:r>
    </w:p>
    <w:p w:rsidR="00530DDC" w:rsidRDefault="00530DDC" w:rsidP="00FE3C6B">
      <w:pPr>
        <w:spacing w:after="120" w:line="240" w:lineRule="auto"/>
        <w:rPr>
          <w:color w:val="000000"/>
          <w:lang w:val="en-CA"/>
        </w:rPr>
      </w:pPr>
      <w:r w:rsidRPr="008138A9">
        <w:rPr>
          <w:color w:val="000000"/>
          <w:lang w:val="en-CA"/>
        </w:rPr>
        <w:t xml:space="preserve">Retrieved May 10, 2017 from http://www.perseus.tufts.edu/hopper/text?doc=plat. </w:t>
      </w:r>
      <w:proofErr w:type="spellStart"/>
      <w:proofErr w:type="gramStart"/>
      <w:r w:rsidRPr="008138A9">
        <w:rPr>
          <w:color w:val="000000"/>
          <w:lang w:val="en-CA"/>
        </w:rPr>
        <w:t>apol</w:t>
      </w:r>
      <w:proofErr w:type="spellEnd"/>
      <w:proofErr w:type="gramEnd"/>
      <w:r w:rsidRPr="008138A9">
        <w:rPr>
          <w:color w:val="000000"/>
          <w:lang w:val="en-CA"/>
        </w:rPr>
        <w:t>. 38a</w:t>
      </w:r>
    </w:p>
    <w:p w:rsidR="00FE3C6B" w:rsidRPr="008138A9" w:rsidRDefault="00FE3C6B" w:rsidP="00FE3C6B">
      <w:pPr>
        <w:spacing w:after="120" w:line="240" w:lineRule="auto"/>
        <w:rPr>
          <w:color w:val="000000"/>
          <w:lang w:val="en-CA"/>
        </w:rPr>
      </w:pPr>
    </w:p>
    <w:p w:rsidR="0084692A" w:rsidRDefault="0084692A" w:rsidP="00FE3C6B">
      <w:pPr>
        <w:spacing w:after="120" w:line="240" w:lineRule="auto"/>
      </w:pPr>
      <w:r>
        <w:t xml:space="preserve">Lamb, </w:t>
      </w:r>
      <w:proofErr w:type="spellStart"/>
      <w:r>
        <w:t>Creig</w:t>
      </w:r>
      <w:proofErr w:type="spellEnd"/>
      <w:r>
        <w:t xml:space="preserve">. (2016). </w:t>
      </w:r>
      <w:proofErr w:type="gramStart"/>
      <w:r>
        <w:t>The</w:t>
      </w:r>
      <w:proofErr w:type="gramEnd"/>
      <w:r>
        <w:t xml:space="preserve"> Talented Mr. Robot. Toronto: The Brookfield Institute for Innovation + Entrepreneurship</w:t>
      </w:r>
    </w:p>
    <w:p w:rsidR="00FE3C6B" w:rsidRDefault="00FE3C6B" w:rsidP="00FE3C6B">
      <w:pPr>
        <w:spacing w:after="120" w:line="240" w:lineRule="auto"/>
      </w:pPr>
    </w:p>
    <w:p w:rsidR="00FE3C6B" w:rsidRDefault="00FE3C6B" w:rsidP="00FE3C6B">
      <w:pPr>
        <w:spacing w:after="120" w:line="240" w:lineRule="auto"/>
      </w:pPr>
      <w:r w:rsidRPr="00FE3C6B">
        <w:t xml:space="preserve">OECD (2014), OECD </w:t>
      </w:r>
      <w:proofErr w:type="spellStart"/>
      <w:r w:rsidRPr="00FE3C6B">
        <w:t>Factbook</w:t>
      </w:r>
      <w:proofErr w:type="spellEnd"/>
      <w:r w:rsidRPr="00FE3C6B">
        <w:t xml:space="preserve"> 2014: Economic, Environmental and Social Statistics, OECD Publishing, Paris.</w:t>
      </w:r>
    </w:p>
    <w:p w:rsidR="00FE3C6B" w:rsidRDefault="00FE3C6B" w:rsidP="00FE3C6B">
      <w:pPr>
        <w:spacing w:after="120" w:line="240" w:lineRule="auto"/>
      </w:pPr>
      <w:r w:rsidRPr="00FE3C6B">
        <w:t xml:space="preserve">DOI: </w:t>
      </w:r>
      <w:hyperlink r:id="rId9" w:history="1">
        <w:r w:rsidRPr="00CC176F">
          <w:rPr>
            <w:rStyle w:val="Hyperlink"/>
          </w:rPr>
          <w:t>http://dx.doi.org/10.1787/factbook-2014-en</w:t>
        </w:r>
      </w:hyperlink>
    </w:p>
    <w:p w:rsidR="00FE3C6B" w:rsidRDefault="00FE3C6B" w:rsidP="00FE3C6B">
      <w:pPr>
        <w:spacing w:after="120" w:line="240" w:lineRule="auto"/>
      </w:pPr>
    </w:p>
    <w:p w:rsidR="00C25B24" w:rsidRDefault="00FE3C6B" w:rsidP="00FE3C6B">
      <w:pPr>
        <w:spacing w:after="120" w:line="240" w:lineRule="auto"/>
      </w:pPr>
      <w:r>
        <w:t>SOKANU. (2017) The World’s Best Career Site. https://www.sokanu.com/</w:t>
      </w:r>
    </w:p>
    <w:sectPr w:rsidR="00C25B24">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08C" w:rsidRDefault="0015108C" w:rsidP="0015108C">
      <w:pPr>
        <w:spacing w:after="0" w:line="240" w:lineRule="auto"/>
      </w:pPr>
      <w:r>
        <w:separator/>
      </w:r>
    </w:p>
  </w:endnote>
  <w:endnote w:type="continuationSeparator" w:id="0">
    <w:p w:rsidR="0015108C" w:rsidRDefault="0015108C" w:rsidP="0015108C">
      <w:pPr>
        <w:spacing w:after="0" w:line="240" w:lineRule="auto"/>
      </w:pPr>
      <w:r>
        <w:continuationSeparator/>
      </w:r>
    </w:p>
  </w:endnote>
  <w:endnote w:type="continuationNotice" w:id="1">
    <w:p w:rsidR="00E0245D" w:rsidRDefault="00E02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08C" w:rsidRDefault="0015108C" w:rsidP="0015108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08C" w:rsidRPr="001958CF" w:rsidRDefault="0015108C" w:rsidP="0015108C">
    <w:pPr>
      <w:pStyle w:val="Footer"/>
      <w:jc w:val="center"/>
      <w:rPr>
        <w:color w:val="44546A" w:themeColor="text2"/>
        <w:sz w:val="20"/>
        <w:szCs w:val="20"/>
      </w:rPr>
    </w:pPr>
    <w:r w:rsidRPr="001958CF">
      <w:rPr>
        <w:color w:val="44546A" w:themeColor="text2"/>
        <w:sz w:val="20"/>
        <w:szCs w:val="20"/>
      </w:rPr>
      <w:t xml:space="preserve">Vancouver Island University | Centre for Experiential Learning | </w:t>
    </w:r>
    <w:proofErr w:type="spellStart"/>
    <w:r w:rsidRPr="001958CF">
      <w:rPr>
        <w:color w:val="44546A" w:themeColor="text2"/>
        <w:sz w:val="20"/>
        <w:szCs w:val="20"/>
      </w:rPr>
      <w:t>W.B</w:t>
    </w:r>
    <w:r w:rsidR="001958CF">
      <w:rPr>
        <w:color w:val="44546A" w:themeColor="text2"/>
        <w:sz w:val="20"/>
        <w:szCs w:val="20"/>
      </w:rPr>
      <w:t>rook</w:t>
    </w:r>
    <w:proofErr w:type="spellEnd"/>
    <w:r w:rsidR="001958CF">
      <w:rPr>
        <w:color w:val="44546A" w:themeColor="text2"/>
        <w:sz w:val="20"/>
        <w:szCs w:val="20"/>
      </w:rPr>
      <w:t xml:space="preserve"> </w:t>
    </w:r>
    <w:r w:rsidRPr="001958CF">
      <w:rPr>
        <w:color w:val="44546A" w:themeColor="text2"/>
        <w:sz w:val="20"/>
        <w:szCs w:val="20"/>
      </w:rPr>
      <w:t>Pearce 2017</w:t>
    </w:r>
  </w:p>
  <w:p w:rsidR="0015108C" w:rsidRDefault="00151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08C" w:rsidRDefault="0015108C" w:rsidP="0015108C">
      <w:pPr>
        <w:spacing w:after="0" w:line="240" w:lineRule="auto"/>
      </w:pPr>
      <w:r>
        <w:separator/>
      </w:r>
    </w:p>
  </w:footnote>
  <w:footnote w:type="continuationSeparator" w:id="0">
    <w:p w:rsidR="0015108C" w:rsidRDefault="0015108C" w:rsidP="0015108C">
      <w:pPr>
        <w:spacing w:after="0" w:line="240" w:lineRule="auto"/>
      </w:pPr>
      <w:r>
        <w:continuationSeparator/>
      </w:r>
    </w:p>
  </w:footnote>
  <w:footnote w:type="continuationNotice" w:id="1">
    <w:p w:rsidR="00E0245D" w:rsidRDefault="00E024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08C" w:rsidRPr="0015108C" w:rsidRDefault="0015108C" w:rsidP="0015108C">
    <w:pPr>
      <w:pStyle w:val="Header"/>
      <w:jc w:val="right"/>
      <w:rPr>
        <w:color w:val="44546A" w:themeColor="text2"/>
        <w:sz w:val="20"/>
        <w:szCs w:val="20"/>
      </w:rPr>
    </w:pPr>
    <w:r w:rsidRPr="0015108C">
      <w:rPr>
        <w:noProof/>
        <w:color w:val="44546A" w:themeColor="text2"/>
        <w:sz w:val="20"/>
        <w:szCs w:val="20"/>
        <w:lang w:val="en-CA" w:eastAsia="en-CA"/>
      </w:rPr>
      <w:drawing>
        <wp:inline distT="0" distB="0" distL="0" distR="0">
          <wp:extent cx="1473200" cy="1104898"/>
          <wp:effectExtent l="0" t="0" r="0" b="635"/>
          <wp:docPr id="1" name="Picture 1" descr="\\capitan\redirects\p\pearceb\Desktop\CEL &amp; CR LOGOS\Centre for Experiential Learning Revers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an\redirects\p\pearceb\Desktop\CEL &amp; CR LOGOS\Centre for Experiential Learning Revers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305" cy="11859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7F"/>
    <w:rsid w:val="0005225E"/>
    <w:rsid w:val="0015108C"/>
    <w:rsid w:val="001958CF"/>
    <w:rsid w:val="00530DDC"/>
    <w:rsid w:val="0054557F"/>
    <w:rsid w:val="005E34FD"/>
    <w:rsid w:val="008138A9"/>
    <w:rsid w:val="0084692A"/>
    <w:rsid w:val="008B543F"/>
    <w:rsid w:val="009A2DB0"/>
    <w:rsid w:val="00B418DA"/>
    <w:rsid w:val="00B87700"/>
    <w:rsid w:val="00C25B24"/>
    <w:rsid w:val="00E0245D"/>
    <w:rsid w:val="00FE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23B70-FAB8-468A-99B1-1B06F2FC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08C"/>
  </w:style>
  <w:style w:type="paragraph" w:styleId="Footer">
    <w:name w:val="footer"/>
    <w:basedOn w:val="Normal"/>
    <w:link w:val="FooterChar"/>
    <w:uiPriority w:val="99"/>
    <w:unhideWhenUsed/>
    <w:rsid w:val="0015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08C"/>
  </w:style>
  <w:style w:type="character" w:styleId="Hyperlink">
    <w:name w:val="Hyperlink"/>
    <w:basedOn w:val="DefaultParagraphFont"/>
    <w:uiPriority w:val="99"/>
    <w:unhideWhenUsed/>
    <w:rsid w:val="00530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0620">
      <w:bodyDiv w:val="1"/>
      <w:marLeft w:val="0"/>
      <w:marRight w:val="0"/>
      <w:marTop w:val="0"/>
      <w:marBottom w:val="0"/>
      <w:divBdr>
        <w:top w:val="none" w:sz="0" w:space="0" w:color="auto"/>
        <w:left w:val="none" w:sz="0" w:space="0" w:color="auto"/>
        <w:bottom w:val="none" w:sz="0" w:space="0" w:color="auto"/>
        <w:right w:val="none" w:sz="0" w:space="0" w:color="auto"/>
      </w:divBdr>
    </w:div>
    <w:div w:id="1264530628">
      <w:bodyDiv w:val="1"/>
      <w:marLeft w:val="0"/>
      <w:marRight w:val="0"/>
      <w:marTop w:val="0"/>
      <w:marBottom w:val="0"/>
      <w:divBdr>
        <w:top w:val="none" w:sz="0" w:space="0" w:color="auto"/>
        <w:left w:val="none" w:sz="0" w:space="0" w:color="auto"/>
        <w:bottom w:val="none" w:sz="0" w:space="0" w:color="auto"/>
        <w:right w:val="none" w:sz="0" w:space="0" w:color="auto"/>
      </w:divBdr>
    </w:div>
    <w:div w:id="1630165123">
      <w:bodyDiv w:val="1"/>
      <w:marLeft w:val="0"/>
      <w:marRight w:val="0"/>
      <w:marTop w:val="0"/>
      <w:marBottom w:val="0"/>
      <w:divBdr>
        <w:top w:val="none" w:sz="0" w:space="0" w:color="auto"/>
        <w:left w:val="none" w:sz="0" w:space="0" w:color="auto"/>
        <w:bottom w:val="none" w:sz="0" w:space="0" w:color="auto"/>
        <w:right w:val="none" w:sz="0" w:space="0" w:color="auto"/>
      </w:divBdr>
      <w:divsChild>
        <w:div w:id="1295908953">
          <w:marLeft w:val="0"/>
          <w:marRight w:val="0"/>
          <w:marTop w:val="0"/>
          <w:marBottom w:val="0"/>
          <w:divBdr>
            <w:top w:val="none" w:sz="0" w:space="0" w:color="auto"/>
            <w:left w:val="none" w:sz="0" w:space="0" w:color="auto"/>
            <w:bottom w:val="none" w:sz="0" w:space="0" w:color="auto"/>
            <w:right w:val="none" w:sz="0" w:space="0" w:color="auto"/>
          </w:divBdr>
          <w:divsChild>
            <w:div w:id="1066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business/donald-trump-trade-nafta-1.394798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ferenceboard.ca/topics/education/learning-tools/employability-skills.aspx"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x.doi.org/10.1787/factbook-2014-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Pearce</dc:creator>
  <cp:keywords/>
  <dc:description/>
  <cp:lastModifiedBy>Brook Pearce</cp:lastModifiedBy>
  <cp:revision>6</cp:revision>
  <dcterms:created xsi:type="dcterms:W3CDTF">2017-05-10T15:47:00Z</dcterms:created>
  <dcterms:modified xsi:type="dcterms:W3CDTF">2017-05-10T22:25:00Z</dcterms:modified>
</cp:coreProperties>
</file>